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11F4A">
      <w:pPr>
        <w:pageBreakBefore w:val="0"/>
        <w:widowControl w:val="0"/>
        <w:kinsoku/>
        <w:overflowPunct/>
        <w:topLinePunct w:val="0"/>
        <w:bidi w:val="0"/>
        <w:snapToGrid/>
        <w:spacing w:line="440" w:lineRule="exact"/>
        <w:jc w:val="both"/>
        <w:rPr>
          <w:rFonts w:hint="eastAsia" w:ascii="仿宋_GB2312" w:hAnsi="仿宋_GB2312" w:eastAsia="仿宋_GB2312" w:cs="仿宋_GB2312"/>
          <w:b w:val="0"/>
          <w:bCs w:val="0"/>
          <w:color w:val="auto"/>
          <w:kern w:val="2"/>
          <w:sz w:val="32"/>
          <w:szCs w:val="32"/>
          <w:highlight w:val="none"/>
          <w:lang w:val="en-US" w:eastAsia="zh-CN"/>
        </w:rPr>
      </w:pPr>
      <w:bookmarkStart w:id="0" w:name="_GoBack"/>
      <w:bookmarkEnd w:id="0"/>
      <w:r>
        <w:rPr>
          <w:rFonts w:hint="eastAsia" w:ascii="仿宋_GB2312" w:hAnsi="仿宋_GB2312" w:eastAsia="仿宋_GB2312" w:cs="仿宋_GB2312"/>
          <w:b w:val="0"/>
          <w:bCs w:val="0"/>
          <w:color w:val="auto"/>
          <w:kern w:val="2"/>
          <w:sz w:val="32"/>
          <w:szCs w:val="32"/>
          <w:highlight w:val="none"/>
          <w:lang w:val="en-US" w:eastAsia="zh-CN"/>
        </w:rPr>
        <w:t>附件：</w:t>
      </w:r>
    </w:p>
    <w:p w14:paraId="4FCE05D8">
      <w:pPr>
        <w:pageBreakBefore w:val="0"/>
        <w:widowControl w:val="0"/>
        <w:kinsoku/>
        <w:overflowPunct/>
        <w:topLinePunct w:val="0"/>
        <w:bidi w:val="0"/>
        <w:snapToGrid/>
        <w:spacing w:line="440" w:lineRule="exact"/>
        <w:jc w:val="center"/>
        <w:rPr>
          <w:rFonts w:hint="default" w:ascii="仿宋" w:hAnsi="仿宋" w:eastAsia="仿宋" w:cs="仿宋"/>
          <w:b/>
          <w:bCs/>
          <w:color w:val="auto"/>
          <w:kern w:val="2"/>
          <w:sz w:val="24"/>
          <w:szCs w:val="24"/>
          <w:highlight w:val="none"/>
          <w:lang w:val="en-US" w:eastAsia="zh-CN"/>
        </w:rPr>
      </w:pPr>
      <w:r>
        <w:rPr>
          <w:rFonts w:hint="eastAsia" w:ascii="方正小标宋简体" w:hAnsi="方正小标宋简体" w:eastAsia="方正小标宋简体" w:cs="方正小标宋简体"/>
          <w:b/>
          <w:bCs/>
          <w:color w:val="auto"/>
          <w:kern w:val="2"/>
          <w:sz w:val="44"/>
          <w:szCs w:val="44"/>
          <w:highlight w:val="none"/>
          <w:lang w:val="en-US" w:eastAsia="zh-CN"/>
        </w:rPr>
        <w:t>评审办法</w:t>
      </w:r>
    </w:p>
    <w:p w14:paraId="51E59BC2">
      <w:pPr>
        <w:pageBreakBefore w:val="0"/>
        <w:widowControl w:val="0"/>
        <w:kinsoku/>
        <w:overflowPunct/>
        <w:topLinePunct w:val="0"/>
        <w:bidi w:val="0"/>
        <w:snapToGrid/>
        <w:spacing w:line="440" w:lineRule="exact"/>
        <w:ind w:firstLine="480" w:firstLineChars="200"/>
        <w:rPr>
          <w:rFonts w:ascii="仿宋" w:hAnsi="仿宋" w:eastAsia="仿宋" w:cs="仿宋"/>
          <w:b w:val="0"/>
          <w:bCs w:val="0"/>
          <w:color w:val="auto"/>
          <w:kern w:val="2"/>
          <w:sz w:val="24"/>
          <w:szCs w:val="24"/>
          <w:highlight w:val="none"/>
        </w:rPr>
      </w:pPr>
    </w:p>
    <w:p w14:paraId="78697827">
      <w:pPr>
        <w:pageBreakBefore w:val="0"/>
        <w:widowControl w:val="0"/>
        <w:kinsoku/>
        <w:overflowPunct/>
        <w:topLinePunct w:val="0"/>
        <w:bidi w:val="0"/>
        <w:snapToGrid/>
        <w:spacing w:line="440" w:lineRule="exact"/>
        <w:ind w:firstLine="480" w:firstLineChars="200"/>
        <w:rPr>
          <w:rFonts w:hint="eastAsia" w:ascii="仿宋" w:hAnsi="仿宋" w:eastAsia="仿宋" w:cs="仿宋"/>
          <w:b/>
          <w:bCs/>
          <w:color w:val="auto"/>
          <w:szCs w:val="21"/>
          <w:highlight w:val="none"/>
        </w:rPr>
      </w:pPr>
      <w:r>
        <w:rPr>
          <w:rFonts w:ascii="仿宋" w:hAnsi="仿宋" w:eastAsia="仿宋" w:cs="仿宋"/>
          <w:b w:val="0"/>
          <w:bCs w:val="0"/>
          <w:color w:val="auto"/>
          <w:kern w:val="2"/>
          <w:sz w:val="24"/>
          <w:szCs w:val="24"/>
          <w:highlight w:val="none"/>
        </w:rPr>
        <w:t>本项目采用综合评分法</w:t>
      </w:r>
      <w:r>
        <w:rPr>
          <w:rFonts w:hint="eastAsia" w:ascii="仿宋" w:hAnsi="仿宋" w:cs="仿宋"/>
          <w:b w:val="0"/>
          <w:bCs w:val="0"/>
          <w:color w:val="auto"/>
          <w:kern w:val="2"/>
          <w:sz w:val="24"/>
          <w:szCs w:val="24"/>
          <w:highlight w:val="none"/>
          <w:lang w:eastAsia="zh-CN"/>
        </w:rPr>
        <w:t>，</w:t>
      </w:r>
      <w:r>
        <w:rPr>
          <w:rFonts w:hint="eastAsia" w:ascii="仿宋" w:hAnsi="仿宋" w:eastAsia="仿宋" w:cs="仿宋"/>
          <w:b w:val="0"/>
          <w:bCs w:val="0"/>
          <w:color w:val="auto"/>
          <w:szCs w:val="21"/>
          <w:highlight w:val="none"/>
        </w:rPr>
        <w:t>评</w:t>
      </w:r>
      <w:r>
        <w:rPr>
          <w:rFonts w:hint="eastAsia" w:ascii="仿宋" w:hAnsi="仿宋" w:cs="仿宋"/>
          <w:b w:val="0"/>
          <w:bCs w:val="0"/>
          <w:color w:val="auto"/>
          <w:szCs w:val="21"/>
          <w:highlight w:val="none"/>
          <w:lang w:val="en-US" w:eastAsia="zh-CN"/>
        </w:rPr>
        <w:t>审小组</w:t>
      </w:r>
      <w:r>
        <w:rPr>
          <w:rFonts w:hint="eastAsia" w:ascii="仿宋" w:hAnsi="仿宋" w:eastAsia="仿宋" w:cs="仿宋"/>
          <w:b w:val="0"/>
          <w:bCs w:val="0"/>
          <w:color w:val="auto"/>
          <w:szCs w:val="21"/>
          <w:highlight w:val="none"/>
        </w:rPr>
        <w:t>将根据以下评标办法和标准，分别对投标文件进行评审和比较：</w:t>
      </w:r>
    </w:p>
    <w:p w14:paraId="673D7958">
      <w:pPr>
        <w:tabs>
          <w:tab w:val="left" w:pos="2520"/>
        </w:tabs>
        <w:spacing w:line="440" w:lineRule="exact"/>
        <w:ind w:firstLine="480" w:firstLineChars="200"/>
        <w:rPr>
          <w:rFonts w:ascii="仿宋" w:hAnsi="仿宋" w:cs="仿宋"/>
          <w:color w:val="auto"/>
          <w:szCs w:val="24"/>
          <w:highlight w:val="none"/>
        </w:rPr>
      </w:pPr>
      <w:r>
        <w:rPr>
          <w:rFonts w:hint="eastAsia" w:ascii="仿宋" w:hAnsi="仿宋" w:cs="仿宋"/>
          <w:color w:val="auto"/>
          <w:szCs w:val="24"/>
          <w:highlight w:val="none"/>
        </w:rPr>
        <w:t>1、投标文件满足招标文件全部实质性要求，且按照评审因素的量化指标评审得分（即评标总得分）由高到低的顺序排序，推荐排名第一的投标人为中标候选</w:t>
      </w:r>
      <w:r>
        <w:rPr>
          <w:rFonts w:hint="eastAsia" w:ascii="仿宋" w:hAnsi="仿宋" w:cs="仿宋"/>
          <w:color w:val="auto"/>
          <w:szCs w:val="24"/>
          <w:highlight w:val="none"/>
          <w:lang w:val="en-US" w:eastAsia="zh-CN"/>
        </w:rPr>
        <w:t>人</w:t>
      </w:r>
      <w:r>
        <w:rPr>
          <w:rFonts w:hint="eastAsia" w:ascii="仿宋" w:hAnsi="仿宋" w:cs="仿宋"/>
          <w:color w:val="auto"/>
          <w:szCs w:val="24"/>
          <w:highlight w:val="none"/>
        </w:rPr>
        <w:t>。中标候选</w:t>
      </w:r>
      <w:r>
        <w:rPr>
          <w:rFonts w:hint="eastAsia" w:ascii="仿宋" w:hAnsi="仿宋" w:cs="仿宋"/>
          <w:color w:val="auto"/>
          <w:szCs w:val="24"/>
          <w:highlight w:val="none"/>
          <w:lang w:val="en-US" w:eastAsia="zh-CN"/>
        </w:rPr>
        <w:t>人</w:t>
      </w:r>
      <w:r>
        <w:rPr>
          <w:rFonts w:hint="eastAsia" w:ascii="仿宋" w:hAnsi="仿宋" w:cs="仿宋"/>
          <w:color w:val="auto"/>
          <w:szCs w:val="24"/>
          <w:highlight w:val="none"/>
        </w:rPr>
        <w:t>排列规则顺序如下：（1）按照评标总得分由高到低顺序排列。（2）评标总得分相同的，按照报价得分由高到低顺序排列。（3）评标总得分且报价得分相同的，按商务部分得分由高到低顺序排列。（4）以上均相同的，随机抽取确定。</w:t>
      </w:r>
    </w:p>
    <w:p w14:paraId="64BC7518">
      <w:pPr>
        <w:pStyle w:val="9"/>
        <w:widowControl w:val="0"/>
        <w:wordWrap w:val="0"/>
        <w:spacing w:line="440" w:lineRule="exact"/>
        <w:ind w:firstLine="480" w:firstLineChars="200"/>
        <w:jc w:val="both"/>
        <w:rPr>
          <w:rFonts w:hint="default" w:ascii="仿宋" w:hAnsi="仿宋" w:eastAsia="仿宋" w:cs="仿宋"/>
          <w:color w:val="auto"/>
          <w:kern w:val="2"/>
          <w:sz w:val="24"/>
          <w:szCs w:val="24"/>
          <w:highlight w:val="none"/>
        </w:rPr>
      </w:pPr>
      <w:r>
        <w:rPr>
          <w:rFonts w:ascii="仿宋" w:hAnsi="仿宋" w:eastAsia="仿宋" w:cs="仿宋"/>
          <w:color w:val="auto"/>
          <w:kern w:val="2"/>
          <w:sz w:val="24"/>
          <w:szCs w:val="24"/>
          <w:highlight w:val="none"/>
        </w:rPr>
        <w:t>2、各项评审因素的设置如下：</w:t>
      </w:r>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6912"/>
        <w:gridCol w:w="726"/>
      </w:tblGrid>
      <w:tr w14:paraId="0A28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650" w:type="dxa"/>
            <w:vAlign w:val="center"/>
          </w:tcPr>
          <w:p w14:paraId="3A90528C">
            <w:pPr>
              <w:spacing w:line="400" w:lineRule="exact"/>
              <w:ind w:hanging="482"/>
              <w:jc w:val="center"/>
              <w:rPr>
                <w:rFonts w:ascii="仿宋" w:hAnsi="仿宋" w:cs="仿宋"/>
                <w:color w:val="auto"/>
                <w:szCs w:val="24"/>
                <w:highlight w:val="none"/>
              </w:rPr>
            </w:pPr>
            <w:r>
              <w:rPr>
                <w:rFonts w:hint="eastAsia" w:ascii="仿宋" w:hAnsi="仿宋" w:cs="仿宋"/>
                <w:b/>
                <w:color w:val="auto"/>
                <w:kern w:val="0"/>
                <w:szCs w:val="24"/>
                <w:highlight w:val="none"/>
              </w:rPr>
              <w:t xml:space="preserve">    评审项目</w:t>
            </w:r>
          </w:p>
        </w:tc>
        <w:tc>
          <w:tcPr>
            <w:tcW w:w="6912" w:type="dxa"/>
            <w:vAlign w:val="center"/>
          </w:tcPr>
          <w:p w14:paraId="6E2D9BC1">
            <w:pPr>
              <w:spacing w:line="400" w:lineRule="exact"/>
              <w:ind w:hanging="482"/>
              <w:jc w:val="center"/>
              <w:rPr>
                <w:rFonts w:ascii="仿宋" w:hAnsi="仿宋" w:cs="仿宋"/>
                <w:color w:val="auto"/>
                <w:szCs w:val="24"/>
                <w:highlight w:val="none"/>
              </w:rPr>
            </w:pPr>
            <w:r>
              <w:rPr>
                <w:rFonts w:hint="eastAsia" w:ascii="仿宋" w:hAnsi="仿宋" w:cs="仿宋"/>
                <w:b/>
                <w:color w:val="auto"/>
                <w:kern w:val="0"/>
                <w:szCs w:val="24"/>
                <w:highlight w:val="none"/>
              </w:rPr>
              <w:t>评分要求</w:t>
            </w:r>
          </w:p>
        </w:tc>
        <w:tc>
          <w:tcPr>
            <w:tcW w:w="726" w:type="dxa"/>
            <w:vAlign w:val="center"/>
          </w:tcPr>
          <w:p w14:paraId="56B7A483">
            <w:pPr>
              <w:spacing w:line="400" w:lineRule="exact"/>
              <w:jc w:val="center"/>
              <w:rPr>
                <w:rFonts w:ascii="仿宋" w:hAnsi="仿宋" w:cs="仿宋"/>
                <w:color w:val="auto"/>
                <w:szCs w:val="24"/>
                <w:highlight w:val="none"/>
              </w:rPr>
            </w:pPr>
            <w:r>
              <w:rPr>
                <w:rFonts w:hint="eastAsia" w:ascii="仿宋" w:hAnsi="仿宋" w:cs="仿宋"/>
                <w:b/>
                <w:color w:val="auto"/>
                <w:szCs w:val="24"/>
                <w:highlight w:val="none"/>
              </w:rPr>
              <w:t>分值</w:t>
            </w:r>
          </w:p>
        </w:tc>
      </w:tr>
      <w:tr w14:paraId="4F92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dxa"/>
            <w:vAlign w:val="center"/>
          </w:tcPr>
          <w:p w14:paraId="119F8F75">
            <w:pPr>
              <w:spacing w:line="240" w:lineRule="auto"/>
              <w:jc w:val="center"/>
              <w:textAlignment w:val="center"/>
              <w:rPr>
                <w:rFonts w:ascii="仿宋" w:hAnsi="仿宋" w:cs="仿宋"/>
                <w:color w:val="auto"/>
                <w:kern w:val="0"/>
                <w:szCs w:val="24"/>
                <w:highlight w:val="none"/>
                <w:lang w:bidi="ar"/>
              </w:rPr>
            </w:pPr>
            <w:r>
              <w:rPr>
                <w:rFonts w:hint="eastAsia" w:ascii="仿宋" w:hAnsi="仿宋" w:cs="仿宋"/>
                <w:color w:val="auto"/>
                <w:kern w:val="0"/>
                <w:szCs w:val="24"/>
                <w:highlight w:val="none"/>
                <w:lang w:bidi="ar"/>
              </w:rPr>
              <w:t>价格部分</w:t>
            </w:r>
          </w:p>
          <w:p w14:paraId="251F333A">
            <w:pPr>
              <w:spacing w:line="240" w:lineRule="auto"/>
              <w:jc w:val="center"/>
              <w:textAlignment w:val="center"/>
              <w:rPr>
                <w:rFonts w:ascii="仿宋" w:hAnsi="仿宋" w:cs="仿宋"/>
                <w:color w:val="auto"/>
                <w:kern w:val="0"/>
                <w:szCs w:val="24"/>
                <w:highlight w:val="none"/>
                <w:lang w:bidi="ar"/>
              </w:rPr>
            </w:pPr>
            <w:r>
              <w:rPr>
                <w:rFonts w:hint="eastAsia" w:ascii="仿宋" w:hAnsi="仿宋" w:cs="仿宋"/>
                <w:color w:val="auto"/>
                <w:kern w:val="0"/>
                <w:szCs w:val="24"/>
                <w:highlight w:val="none"/>
                <w:lang w:bidi="ar"/>
              </w:rPr>
              <w:t>（</w:t>
            </w:r>
            <w:r>
              <w:rPr>
                <w:rFonts w:hint="eastAsia" w:ascii="仿宋" w:hAnsi="仿宋" w:cs="仿宋"/>
                <w:color w:val="auto"/>
                <w:kern w:val="0"/>
                <w:szCs w:val="24"/>
                <w:highlight w:val="none"/>
                <w:lang w:val="en-US" w:eastAsia="zh-CN" w:bidi="ar"/>
              </w:rPr>
              <w:t>70</w:t>
            </w:r>
            <w:r>
              <w:rPr>
                <w:rFonts w:hint="eastAsia" w:ascii="仿宋" w:hAnsi="仿宋" w:cs="仿宋"/>
                <w:color w:val="auto"/>
                <w:kern w:val="0"/>
                <w:szCs w:val="24"/>
                <w:highlight w:val="none"/>
                <w:lang w:bidi="ar"/>
              </w:rPr>
              <w:t>分）</w:t>
            </w:r>
          </w:p>
        </w:tc>
        <w:tc>
          <w:tcPr>
            <w:tcW w:w="6912" w:type="dxa"/>
            <w:vAlign w:val="center"/>
          </w:tcPr>
          <w:p w14:paraId="1B9B8E29">
            <w:pPr>
              <w:tabs>
                <w:tab w:val="left" w:pos="403"/>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1.评审价格=</w:t>
            </w:r>
            <w:r>
              <w:rPr>
                <w:rFonts w:hint="eastAsia" w:ascii="仿宋" w:hAnsi="仿宋" w:cs="仿宋"/>
                <w:color w:val="auto"/>
                <w:sz w:val="24"/>
                <w:szCs w:val="24"/>
                <w:highlight w:val="none"/>
                <w:lang w:val="en-US" w:eastAsia="zh-CN"/>
              </w:rPr>
              <w:t>总报价</w:t>
            </w:r>
            <w:r>
              <w:rPr>
                <w:rFonts w:hint="eastAsia" w:ascii="仿宋" w:hAnsi="仿宋" w:eastAsia="仿宋" w:cs="仿宋"/>
                <w:color w:val="auto"/>
                <w:sz w:val="24"/>
                <w:szCs w:val="24"/>
                <w:highlight w:val="none"/>
              </w:rPr>
              <w:t>（不含税）。</w:t>
            </w:r>
          </w:p>
          <w:p w14:paraId="0B85662C">
            <w:pPr>
              <w:tabs>
                <w:tab w:val="left" w:pos="403"/>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2.评标委员会将根据本招标文件规定对投标报价进行算术性错误修正。</w:t>
            </w:r>
          </w:p>
          <w:p w14:paraId="27982A72">
            <w:pPr>
              <w:tabs>
                <w:tab w:val="left" w:pos="403"/>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投标人的报价经上述修正后，计算出评标价，评标委员会将按下列方法计算各合格投标人的报价得分：</w:t>
            </w:r>
          </w:p>
          <w:p w14:paraId="1EEE79B1">
            <w:pPr>
              <w:keepNext w:val="0"/>
              <w:keepLines w:val="0"/>
              <w:pageBreakBefore w:val="0"/>
              <w:widowControl w:val="0"/>
              <w:kinsoku/>
              <w:wordWrap/>
              <w:overflowPunct/>
              <w:topLinePunct w:val="0"/>
              <w:autoSpaceDE/>
              <w:autoSpaceDN w:val="0"/>
              <w:bidi w:val="0"/>
              <w:spacing w:line="400" w:lineRule="exact"/>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A</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＝(Fn</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/F</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cs="仿宋"/>
                <w:color w:val="auto"/>
                <w:sz w:val="24"/>
                <w:szCs w:val="24"/>
                <w:highlight w:val="none"/>
                <w:lang w:val="en-US" w:eastAsia="zh-CN"/>
              </w:rPr>
              <w:t>70</w:t>
            </w:r>
          </w:p>
          <w:p w14:paraId="00EEDD29">
            <w:pPr>
              <w:keepNext w:val="0"/>
              <w:keepLines w:val="0"/>
              <w:pageBreakBefore w:val="0"/>
              <w:widowControl w:val="0"/>
              <w:kinsoku/>
              <w:wordWrap/>
              <w:overflowPunct/>
              <w:topLinePunct w:val="0"/>
              <w:autoSpaceDE/>
              <w:autoSpaceDN w:val="0"/>
              <w:bidi w:val="0"/>
              <w:spacing w:line="420" w:lineRule="exact"/>
              <w:ind w:left="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上式中：</w:t>
            </w:r>
          </w:p>
          <w:p w14:paraId="21B2A83D">
            <w:pPr>
              <w:keepNext w:val="0"/>
              <w:keepLines w:val="0"/>
              <w:pageBreakBefore w:val="0"/>
              <w:widowControl w:val="0"/>
              <w:kinsoku/>
              <w:wordWrap/>
              <w:overflowPunct/>
              <w:topLinePunct w:val="0"/>
              <w:autoSpaceDE/>
              <w:autoSpaceDN w:val="0"/>
              <w:bidi w:val="0"/>
              <w:spacing w:line="420" w:lineRule="exact"/>
              <w:ind w:left="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：合格投标人的</w:t>
            </w:r>
            <w:r>
              <w:rPr>
                <w:rFonts w:hint="eastAsia" w:ascii="仿宋" w:hAnsi="仿宋" w:cs="仿宋"/>
                <w:color w:val="auto"/>
                <w:sz w:val="24"/>
                <w:szCs w:val="24"/>
                <w:highlight w:val="none"/>
                <w:lang w:val="en-US" w:eastAsia="zh-CN"/>
              </w:rPr>
              <w:t>总</w:t>
            </w:r>
            <w:r>
              <w:rPr>
                <w:rFonts w:hint="eastAsia" w:ascii="仿宋" w:hAnsi="仿宋" w:eastAsia="仿宋" w:cs="仿宋"/>
                <w:color w:val="auto"/>
                <w:sz w:val="24"/>
                <w:szCs w:val="24"/>
                <w:highlight w:val="none"/>
              </w:rPr>
              <w:t>报价部分得分，最低为0分；</w:t>
            </w:r>
          </w:p>
          <w:p w14:paraId="739260D4">
            <w:pPr>
              <w:keepNext w:val="0"/>
              <w:keepLines w:val="0"/>
              <w:pageBreakBefore w:val="0"/>
              <w:widowControl w:val="0"/>
              <w:kinsoku/>
              <w:wordWrap/>
              <w:overflowPunct/>
              <w:topLinePunct w:val="0"/>
              <w:autoSpaceDE/>
              <w:autoSpaceDN w:val="0"/>
              <w:bidi w:val="0"/>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：合格投标人的</w:t>
            </w:r>
            <w:r>
              <w:rPr>
                <w:rFonts w:hint="eastAsia" w:ascii="仿宋" w:hAnsi="仿宋" w:cs="仿宋"/>
                <w:color w:val="auto"/>
                <w:sz w:val="24"/>
                <w:szCs w:val="24"/>
                <w:highlight w:val="none"/>
                <w:lang w:val="en-US" w:eastAsia="zh-CN"/>
              </w:rPr>
              <w:t>总报价</w:t>
            </w:r>
            <w:r>
              <w:rPr>
                <w:rFonts w:hint="eastAsia" w:ascii="仿宋" w:hAnsi="仿宋" w:eastAsia="仿宋" w:cs="仿宋"/>
                <w:color w:val="auto"/>
                <w:sz w:val="24"/>
                <w:szCs w:val="24"/>
                <w:highlight w:val="none"/>
              </w:rPr>
              <w:t>（不含税）；</w:t>
            </w:r>
          </w:p>
          <w:p w14:paraId="7EEE5F72">
            <w:pPr>
              <w:tabs>
                <w:tab w:val="left" w:pos="403"/>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Fn</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：评标基准价为有效投标人的最低</w:t>
            </w:r>
            <w:r>
              <w:rPr>
                <w:rFonts w:hint="eastAsia" w:ascii="仿宋" w:hAnsi="仿宋" w:cs="仿宋"/>
                <w:color w:val="auto"/>
                <w:sz w:val="24"/>
                <w:szCs w:val="24"/>
                <w:highlight w:val="none"/>
                <w:lang w:val="en-US" w:eastAsia="zh-CN"/>
              </w:rPr>
              <w:t>总</w:t>
            </w:r>
            <w:r>
              <w:rPr>
                <w:rFonts w:hint="eastAsia" w:ascii="仿宋" w:hAnsi="仿宋" w:eastAsia="仿宋" w:cs="仿宋"/>
                <w:color w:val="auto"/>
                <w:sz w:val="24"/>
                <w:szCs w:val="24"/>
                <w:highlight w:val="none"/>
                <w:lang w:val="en-US" w:eastAsia="zh-CN"/>
              </w:rPr>
              <w:t>报价</w:t>
            </w:r>
            <w:r>
              <w:rPr>
                <w:rFonts w:hint="eastAsia" w:ascii="仿宋" w:hAnsi="仿宋" w:cs="仿宋"/>
                <w:color w:val="auto"/>
                <w:sz w:val="24"/>
                <w:szCs w:val="24"/>
                <w:highlight w:val="none"/>
                <w:lang w:val="en-US" w:eastAsia="zh-CN"/>
              </w:rPr>
              <w:t>（不含税）</w:t>
            </w:r>
            <w:r>
              <w:rPr>
                <w:rFonts w:hint="eastAsia" w:ascii="仿宋" w:hAnsi="仿宋" w:eastAsia="仿宋" w:cs="仿宋"/>
                <w:color w:val="auto"/>
                <w:sz w:val="24"/>
                <w:szCs w:val="24"/>
                <w:highlight w:val="none"/>
              </w:rPr>
              <w:t xml:space="preserve">。 </w:t>
            </w:r>
          </w:p>
        </w:tc>
        <w:tc>
          <w:tcPr>
            <w:tcW w:w="726" w:type="dxa"/>
            <w:vAlign w:val="center"/>
          </w:tcPr>
          <w:p w14:paraId="368BCB04">
            <w:pPr>
              <w:tabs>
                <w:tab w:val="left" w:pos="403"/>
              </w:tabs>
              <w:spacing w:line="240" w:lineRule="auto"/>
              <w:jc w:val="center"/>
              <w:rPr>
                <w:rFonts w:hint="default" w:ascii="仿宋" w:hAnsi="仿宋" w:cs="仿宋"/>
                <w:color w:val="auto"/>
                <w:szCs w:val="24"/>
                <w:highlight w:val="none"/>
                <w:lang w:val="en-US" w:eastAsia="zh-CN"/>
              </w:rPr>
            </w:pPr>
            <w:r>
              <w:rPr>
                <w:rFonts w:hint="eastAsia" w:ascii="仿宋" w:hAnsi="仿宋" w:cs="仿宋"/>
                <w:color w:val="auto"/>
                <w:szCs w:val="24"/>
                <w:highlight w:val="none"/>
                <w:lang w:val="en-US" w:eastAsia="zh-CN"/>
              </w:rPr>
              <w:t>70</w:t>
            </w:r>
          </w:p>
        </w:tc>
      </w:tr>
    </w:tbl>
    <w:p w14:paraId="4866D7C0"/>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93"/>
        <w:gridCol w:w="6912"/>
        <w:gridCol w:w="726"/>
      </w:tblGrid>
      <w:tr w14:paraId="2A64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57" w:type="dxa"/>
            <w:vMerge w:val="restart"/>
            <w:vAlign w:val="center"/>
          </w:tcPr>
          <w:p w14:paraId="2EF9C6A9">
            <w:pPr>
              <w:spacing w:line="400" w:lineRule="exact"/>
              <w:jc w:val="center"/>
              <w:textAlignment w:val="center"/>
              <w:rPr>
                <w:rFonts w:ascii="仿宋" w:hAnsi="仿宋" w:cs="仿宋"/>
                <w:color w:val="auto"/>
                <w:kern w:val="0"/>
                <w:szCs w:val="24"/>
                <w:highlight w:val="none"/>
                <w:lang w:bidi="ar"/>
              </w:rPr>
            </w:pPr>
            <w:r>
              <w:rPr>
                <w:rFonts w:hint="eastAsia" w:ascii="仿宋" w:hAnsi="仿宋" w:cs="仿宋"/>
                <w:color w:val="auto"/>
                <w:szCs w:val="24"/>
                <w:highlight w:val="none"/>
                <w:lang w:val="en-US" w:eastAsia="zh-CN" w:bidi="ar"/>
              </w:rPr>
              <w:t>商务</w:t>
            </w:r>
            <w:r>
              <w:rPr>
                <w:rFonts w:hint="eastAsia" w:ascii="仿宋" w:hAnsi="仿宋" w:eastAsia="仿宋" w:cs="仿宋"/>
                <w:color w:val="auto"/>
                <w:szCs w:val="24"/>
                <w:highlight w:val="none"/>
                <w:lang w:bidi="ar"/>
              </w:rPr>
              <w:t>部分（</w:t>
            </w:r>
            <w:r>
              <w:rPr>
                <w:rFonts w:hint="eastAsia" w:ascii="仿宋" w:hAnsi="仿宋" w:cs="仿宋"/>
                <w:color w:val="auto"/>
                <w:szCs w:val="24"/>
                <w:highlight w:val="none"/>
                <w:lang w:val="en-US" w:eastAsia="zh-CN" w:bidi="ar"/>
              </w:rPr>
              <w:t>30</w:t>
            </w:r>
            <w:r>
              <w:rPr>
                <w:rFonts w:hint="eastAsia" w:ascii="仿宋" w:hAnsi="仿宋" w:eastAsia="仿宋" w:cs="仿宋"/>
                <w:color w:val="auto"/>
                <w:szCs w:val="24"/>
                <w:highlight w:val="none"/>
                <w:lang w:bidi="ar"/>
              </w:rPr>
              <w:t>分）</w:t>
            </w:r>
          </w:p>
          <w:p w14:paraId="34B3BCC8">
            <w:pPr>
              <w:spacing w:line="400" w:lineRule="exact"/>
              <w:jc w:val="center"/>
              <w:textAlignment w:val="center"/>
              <w:rPr>
                <w:rFonts w:ascii="仿宋" w:hAnsi="仿宋" w:cs="仿宋"/>
                <w:color w:val="auto"/>
                <w:kern w:val="0"/>
                <w:szCs w:val="24"/>
                <w:highlight w:val="none"/>
                <w:lang w:bidi="ar"/>
              </w:rPr>
            </w:pPr>
          </w:p>
        </w:tc>
        <w:tc>
          <w:tcPr>
            <w:tcW w:w="893" w:type="dxa"/>
            <w:vMerge w:val="restart"/>
            <w:vAlign w:val="center"/>
          </w:tcPr>
          <w:p w14:paraId="627E3A70">
            <w:pPr>
              <w:widowControl/>
              <w:jc w:val="center"/>
              <w:textAlignment w:val="center"/>
              <w:rPr>
                <w:rFonts w:ascii="仿宋" w:hAnsi="仿宋" w:cs="仿宋"/>
                <w:color w:val="auto"/>
                <w:kern w:val="0"/>
                <w:szCs w:val="24"/>
                <w:highlight w:val="none"/>
                <w:lang w:bidi="ar"/>
              </w:rPr>
            </w:pPr>
            <w:r>
              <w:rPr>
                <w:rFonts w:hint="eastAsia"/>
                <w:color w:val="auto"/>
                <w:highlight w:val="none"/>
                <w:lang w:val="en-US" w:eastAsia="zh-CN"/>
              </w:rPr>
              <w:t>项目管理与实施</w:t>
            </w:r>
          </w:p>
        </w:tc>
        <w:tc>
          <w:tcPr>
            <w:tcW w:w="6912" w:type="dxa"/>
            <w:shd w:val="clear" w:color="auto" w:fill="auto"/>
            <w:vAlign w:val="center"/>
          </w:tcPr>
          <w:p w14:paraId="498B3363">
            <w:pPr>
              <w:keepNext w:val="0"/>
              <w:keepLines w:val="0"/>
              <w:pageBreakBefore w:val="0"/>
              <w:widowControl w:val="0"/>
              <w:kinsoku/>
              <w:wordWrap/>
              <w:overflowPunct/>
              <w:topLinePunct w:val="0"/>
              <w:autoSpaceDE/>
              <w:bidi w:val="0"/>
              <w:spacing w:line="36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投标人提供针对本项目的</w:t>
            </w:r>
            <w:r>
              <w:rPr>
                <w:rFonts w:hint="eastAsia" w:ascii="仿宋" w:hAnsi="仿宋" w:eastAsia="仿宋" w:cs="仿宋"/>
                <w:color w:val="auto"/>
                <w:sz w:val="24"/>
                <w:szCs w:val="24"/>
                <w:highlight w:val="none"/>
                <w:lang w:val="en-US" w:eastAsia="zh-CN"/>
              </w:rPr>
              <w:t>整体</w:t>
            </w:r>
            <w:r>
              <w:rPr>
                <w:rFonts w:hint="eastAsia" w:ascii="仿宋" w:hAnsi="仿宋" w:eastAsia="仿宋" w:cs="仿宋"/>
                <w:color w:val="auto"/>
                <w:sz w:val="24"/>
                <w:szCs w:val="24"/>
                <w:highlight w:val="none"/>
              </w:rPr>
              <w:t>服务方案，</w:t>
            </w:r>
            <w:r>
              <w:rPr>
                <w:rFonts w:hint="eastAsia" w:ascii="仿宋" w:hAnsi="仿宋" w:eastAsia="仿宋" w:cs="仿宋"/>
                <w:color w:val="auto"/>
                <w:sz w:val="24"/>
                <w:szCs w:val="24"/>
                <w:highlight w:val="none"/>
                <w:lang w:eastAsia="zh-CN"/>
              </w:rPr>
              <w:t>根据</w:t>
            </w:r>
            <w:r>
              <w:rPr>
                <w:rFonts w:hint="eastAsia" w:ascii="仿宋" w:hAnsi="仿宋" w:eastAsia="仿宋" w:cs="仿宋"/>
                <w:color w:val="auto"/>
                <w:sz w:val="24"/>
                <w:szCs w:val="24"/>
                <w:highlight w:val="none"/>
                <w:lang w:val="en-US" w:eastAsia="zh-CN"/>
              </w:rPr>
              <w:t>整体</w:t>
            </w:r>
            <w:r>
              <w:rPr>
                <w:rFonts w:hint="eastAsia" w:ascii="仿宋" w:hAnsi="仿宋" w:eastAsia="仿宋" w:cs="仿宋"/>
                <w:color w:val="auto"/>
                <w:sz w:val="24"/>
                <w:szCs w:val="24"/>
                <w:highlight w:val="none"/>
              </w:rPr>
              <w:t>服务方案</w:t>
            </w:r>
            <w:r>
              <w:rPr>
                <w:rFonts w:hint="eastAsia" w:ascii="仿宋" w:hAnsi="仿宋" w:eastAsia="仿宋" w:cs="仿宋"/>
                <w:color w:val="auto"/>
                <w:sz w:val="24"/>
                <w:szCs w:val="24"/>
                <w:highlight w:val="none"/>
                <w:lang w:eastAsia="zh-CN"/>
              </w:rPr>
              <w:t>的完整性、合理性和可操作性，</w:t>
            </w:r>
            <w:r>
              <w:rPr>
                <w:rFonts w:hint="eastAsia" w:ascii="仿宋" w:hAnsi="仿宋" w:eastAsia="仿宋" w:cs="仿宋"/>
                <w:color w:val="auto"/>
                <w:sz w:val="24"/>
                <w:szCs w:val="24"/>
                <w:highlight w:val="none"/>
              </w:rPr>
              <w:t>由评标委员会进行评议并打分。</w:t>
            </w:r>
            <w:r>
              <w:rPr>
                <w:rFonts w:hint="eastAsia" w:ascii="仿宋" w:hAnsi="仿宋" w:eastAsia="仿宋" w:cs="仿宋"/>
                <w:color w:val="auto"/>
                <w:sz w:val="24"/>
                <w:szCs w:val="24"/>
                <w:highlight w:val="none"/>
                <w:lang w:eastAsia="zh-CN"/>
              </w:rPr>
              <w:t>将投标人的</w:t>
            </w:r>
            <w:r>
              <w:rPr>
                <w:rFonts w:hint="eastAsia" w:ascii="仿宋" w:hAnsi="仿宋" w:eastAsia="仿宋" w:cs="仿宋"/>
                <w:color w:val="auto"/>
                <w:sz w:val="24"/>
                <w:szCs w:val="24"/>
                <w:highlight w:val="none"/>
                <w:lang w:val="en-US" w:eastAsia="zh-CN"/>
              </w:rPr>
              <w:t>整体</w:t>
            </w:r>
            <w:r>
              <w:rPr>
                <w:rFonts w:hint="eastAsia" w:ascii="仿宋" w:hAnsi="仿宋" w:eastAsia="仿宋" w:cs="仿宋"/>
                <w:color w:val="auto"/>
                <w:sz w:val="24"/>
                <w:szCs w:val="24"/>
                <w:highlight w:val="none"/>
              </w:rPr>
              <w:t>服务方案</w:t>
            </w:r>
            <w:r>
              <w:rPr>
                <w:rFonts w:hint="eastAsia" w:ascii="仿宋" w:hAnsi="仿宋" w:eastAsia="仿宋" w:cs="仿宋"/>
                <w:color w:val="auto"/>
                <w:sz w:val="24"/>
                <w:szCs w:val="24"/>
                <w:highlight w:val="none"/>
                <w:lang w:eastAsia="zh-CN"/>
              </w:rPr>
              <w:t>分为优、良、一般三个级别，</w:t>
            </w:r>
            <w:r>
              <w:rPr>
                <w:rFonts w:hint="eastAsia" w:ascii="仿宋" w:hAnsi="仿宋" w:eastAsia="仿宋" w:cs="仿宋"/>
                <w:color w:val="auto"/>
                <w:sz w:val="24"/>
                <w:szCs w:val="24"/>
                <w:highlight w:val="none"/>
                <w:lang w:val="en-US" w:eastAsia="zh-CN"/>
              </w:rPr>
              <w:t>方案针对性强、内容详实为优，得(3.5，5]分；内容完整为良，得(1.5，3.5]分；内容不够详实为一般，得(0，1.5]分。</w:t>
            </w:r>
          </w:p>
          <w:p w14:paraId="7258652D">
            <w:pPr>
              <w:keepNext w:val="0"/>
              <w:keepLines w:val="0"/>
              <w:pageBreakBefore w:val="0"/>
              <w:widowControl w:val="0"/>
              <w:kinsoku/>
              <w:wordWrap/>
              <w:overflowPunct/>
              <w:topLinePunct w:val="0"/>
              <w:autoSpaceDE/>
              <w:bidi w:val="0"/>
              <w:spacing w:line="360" w:lineRule="auto"/>
              <w:outlineLvl w:val="9"/>
              <w:rPr>
                <w:rFonts w:hint="default" w:ascii="Times New Roman" w:hAnsi="Times New Roman" w:eastAsia="仿宋" w:cs="Times New Roman"/>
                <w:b/>
                <w:bCs/>
                <w:color w:val="auto"/>
                <w:kern w:val="2"/>
                <w:sz w:val="24"/>
                <w:szCs w:val="21"/>
                <w:highlight w:val="none"/>
                <w:lang w:val="en-US" w:eastAsia="zh-CN" w:bidi="ar-SA"/>
              </w:rPr>
            </w:pPr>
            <w:r>
              <w:rPr>
                <w:rFonts w:hint="eastAsia" w:ascii="仿宋" w:hAnsi="仿宋" w:eastAsia="仿宋" w:cs="仿宋"/>
                <w:b/>
                <w:bCs/>
                <w:color w:val="auto"/>
                <w:kern w:val="0"/>
                <w:sz w:val="24"/>
                <w:szCs w:val="24"/>
                <w:highlight w:val="none"/>
                <w:lang w:val="en-US" w:eastAsia="zh-CN" w:bidi="ar"/>
              </w:rPr>
              <w:t>评审依据：提供</w:t>
            </w:r>
            <w:r>
              <w:rPr>
                <w:rFonts w:hint="eastAsia" w:ascii="仿宋" w:hAnsi="仿宋" w:eastAsia="仿宋" w:cs="仿宋"/>
                <w:b/>
                <w:bCs/>
                <w:color w:val="auto"/>
                <w:sz w:val="24"/>
                <w:szCs w:val="24"/>
                <w:highlight w:val="none"/>
              </w:rPr>
              <w:t>服务方案</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未提供的不得分。</w:t>
            </w:r>
          </w:p>
        </w:tc>
        <w:tc>
          <w:tcPr>
            <w:tcW w:w="726" w:type="dxa"/>
            <w:shd w:val="clear" w:color="auto" w:fill="auto"/>
            <w:vAlign w:val="center"/>
          </w:tcPr>
          <w:p w14:paraId="2C56E234">
            <w:pPr>
              <w:spacing w:line="360" w:lineRule="auto"/>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cs="仿宋"/>
                <w:color w:val="auto"/>
                <w:kern w:val="0"/>
                <w:szCs w:val="24"/>
                <w:highlight w:val="none"/>
                <w:lang w:val="en-US" w:eastAsia="zh-CN" w:bidi="ar"/>
              </w:rPr>
              <w:t>5</w:t>
            </w:r>
          </w:p>
        </w:tc>
      </w:tr>
      <w:tr w14:paraId="722C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57" w:type="dxa"/>
            <w:vMerge w:val="continue"/>
            <w:vAlign w:val="center"/>
          </w:tcPr>
          <w:p w14:paraId="790DFEE7">
            <w:pPr>
              <w:spacing w:line="400" w:lineRule="exact"/>
              <w:jc w:val="center"/>
              <w:textAlignment w:val="center"/>
              <w:rPr>
                <w:rFonts w:ascii="仿宋" w:hAnsi="仿宋" w:cs="仿宋"/>
                <w:color w:val="auto"/>
                <w:kern w:val="0"/>
                <w:szCs w:val="24"/>
                <w:highlight w:val="none"/>
                <w:lang w:bidi="ar"/>
              </w:rPr>
            </w:pPr>
          </w:p>
        </w:tc>
        <w:tc>
          <w:tcPr>
            <w:tcW w:w="893" w:type="dxa"/>
            <w:vMerge w:val="continue"/>
            <w:vAlign w:val="center"/>
          </w:tcPr>
          <w:p w14:paraId="3EF99C3B">
            <w:pPr>
              <w:widowControl/>
              <w:jc w:val="center"/>
              <w:textAlignment w:val="center"/>
              <w:rPr>
                <w:rFonts w:ascii="仿宋" w:hAnsi="仿宋" w:cs="仿宋"/>
                <w:color w:val="auto"/>
                <w:kern w:val="0"/>
                <w:szCs w:val="24"/>
                <w:highlight w:val="none"/>
                <w:lang w:bidi="ar"/>
              </w:rPr>
            </w:pPr>
          </w:p>
        </w:tc>
        <w:tc>
          <w:tcPr>
            <w:tcW w:w="6912" w:type="dxa"/>
            <w:vAlign w:val="center"/>
          </w:tcPr>
          <w:p w14:paraId="47B5DD53">
            <w:pPr>
              <w:keepNext w:val="0"/>
              <w:keepLines w:val="0"/>
              <w:pageBreakBefore w:val="0"/>
              <w:widowControl w:val="0"/>
              <w:kinsoku/>
              <w:wordWrap/>
              <w:overflowPunct/>
              <w:topLinePunct w:val="0"/>
              <w:autoSpaceDE/>
              <w:bidi w:val="0"/>
              <w:spacing w:line="360" w:lineRule="auto"/>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根据投标人</w:t>
            </w:r>
            <w:r>
              <w:rPr>
                <w:rFonts w:hint="eastAsia" w:ascii="仿宋" w:hAnsi="仿宋" w:eastAsia="仿宋" w:cs="仿宋"/>
                <w:b w:val="0"/>
                <w:bCs w:val="0"/>
                <w:sz w:val="24"/>
                <w:szCs w:val="24"/>
                <w:highlight w:val="none"/>
                <w:lang w:val="en-US" w:eastAsia="zh-CN"/>
              </w:rPr>
              <w:t>针对本项目</w:t>
            </w:r>
            <w:r>
              <w:rPr>
                <w:rFonts w:hint="eastAsia" w:ascii="仿宋" w:hAnsi="仿宋" w:eastAsia="仿宋" w:cs="仿宋"/>
                <w:b w:val="0"/>
                <w:bCs w:val="0"/>
                <w:sz w:val="24"/>
                <w:szCs w:val="24"/>
                <w:highlight w:val="none"/>
              </w:rPr>
              <w:t>提供</w:t>
            </w:r>
            <w:r>
              <w:rPr>
                <w:rFonts w:hint="eastAsia" w:ascii="仿宋" w:hAnsi="仿宋" w:eastAsia="仿宋" w:cs="仿宋"/>
                <w:b w:val="0"/>
                <w:bCs w:val="0"/>
                <w:sz w:val="24"/>
                <w:szCs w:val="24"/>
                <w:highlight w:val="none"/>
                <w:lang w:val="en-US" w:eastAsia="zh-CN"/>
              </w:rPr>
              <w:t>的</w:t>
            </w:r>
            <w:r>
              <w:rPr>
                <w:rFonts w:hint="eastAsia" w:ascii="仿宋" w:hAnsi="仿宋" w:eastAsia="仿宋" w:cs="仿宋"/>
                <w:b w:val="0"/>
                <w:bCs w:val="0"/>
                <w:sz w:val="24"/>
                <w:szCs w:val="24"/>
                <w:highlight w:val="none"/>
              </w:rPr>
              <w:t>人员管理</w:t>
            </w:r>
            <w:r>
              <w:rPr>
                <w:rFonts w:hint="eastAsia" w:ascii="仿宋" w:hAnsi="仿宋" w:eastAsia="仿宋" w:cs="仿宋"/>
                <w:b w:val="0"/>
                <w:bCs w:val="0"/>
                <w:sz w:val="24"/>
                <w:szCs w:val="24"/>
                <w:highlight w:val="none"/>
                <w:lang w:val="en-US" w:eastAsia="zh-CN"/>
              </w:rPr>
              <w:t>方案</w:t>
            </w:r>
            <w:r>
              <w:rPr>
                <w:rFonts w:hint="eastAsia" w:ascii="仿宋" w:hAnsi="仿宋" w:eastAsia="仿宋" w:cs="仿宋"/>
                <w:b w:val="0"/>
                <w:bCs w:val="0"/>
                <w:sz w:val="24"/>
                <w:szCs w:val="24"/>
                <w:highlight w:val="none"/>
              </w:rPr>
              <w:t>（因</w:t>
            </w:r>
            <w:r>
              <w:rPr>
                <w:rFonts w:hint="eastAsia" w:ascii="仿宋" w:hAnsi="仿宋" w:cs="仿宋"/>
                <w:b w:val="0"/>
                <w:bCs w:val="0"/>
                <w:sz w:val="24"/>
                <w:szCs w:val="24"/>
                <w:highlight w:val="none"/>
                <w:lang w:val="en-US" w:eastAsia="zh-CN"/>
              </w:rPr>
              <w:t>服务</w:t>
            </w:r>
            <w:r>
              <w:rPr>
                <w:rFonts w:hint="eastAsia" w:ascii="仿宋" w:hAnsi="仿宋" w:eastAsia="仿宋" w:cs="仿宋"/>
                <w:b w:val="0"/>
                <w:bCs w:val="0"/>
                <w:sz w:val="24"/>
                <w:szCs w:val="24"/>
                <w:highlight w:val="none"/>
              </w:rPr>
              <w:t>人员离职、辞退、人身伤害不能任岗等情况的人员补充、调度时间等）等情况，</w:t>
            </w:r>
            <w:r>
              <w:rPr>
                <w:rFonts w:hint="eastAsia" w:ascii="仿宋" w:hAnsi="仿宋" w:eastAsia="仿宋" w:cs="仿宋"/>
                <w:color w:val="auto"/>
                <w:sz w:val="24"/>
                <w:szCs w:val="24"/>
                <w:highlight w:val="none"/>
              </w:rPr>
              <w:t>由评标委员会进行评议并打分。</w:t>
            </w:r>
            <w:r>
              <w:rPr>
                <w:rFonts w:hint="eastAsia" w:ascii="仿宋" w:hAnsi="仿宋" w:eastAsia="仿宋" w:cs="仿宋"/>
                <w:color w:val="auto"/>
                <w:sz w:val="24"/>
                <w:szCs w:val="24"/>
                <w:highlight w:val="none"/>
                <w:lang w:eastAsia="zh-CN"/>
              </w:rPr>
              <w:t>将投标人提出的项目管理方案分为优、良、一般三个级别，</w:t>
            </w:r>
            <w:r>
              <w:rPr>
                <w:rFonts w:hint="eastAsia" w:ascii="仿宋" w:hAnsi="仿宋" w:eastAsia="仿宋" w:cs="仿宋"/>
                <w:color w:val="auto"/>
                <w:sz w:val="24"/>
                <w:szCs w:val="24"/>
                <w:highlight w:val="none"/>
                <w:lang w:val="en-US" w:eastAsia="zh-CN"/>
              </w:rPr>
              <w:t>方案针对性强、内容详实为优，得(3.5，5]分；内容完整为良，得(1.5，3.5]分；内容不够详实为一般，得(0，1.5]分。</w:t>
            </w:r>
          </w:p>
          <w:p w14:paraId="267FACE6">
            <w:pPr>
              <w:keepNext w:val="0"/>
              <w:keepLines w:val="0"/>
              <w:pageBreakBefore w:val="0"/>
              <w:widowControl w:val="0"/>
              <w:kinsoku/>
              <w:wordWrap/>
              <w:overflowPunct/>
              <w:topLinePunct w:val="0"/>
              <w:autoSpaceDE/>
              <w:bidi w:val="0"/>
              <w:spacing w:line="400" w:lineRule="exact"/>
              <w:outlineLvl w:val="9"/>
              <w:rPr>
                <w:rFonts w:ascii="仿宋" w:hAnsi="仿宋" w:cs="仿宋"/>
                <w:color w:val="auto"/>
                <w:szCs w:val="24"/>
                <w:highlight w:val="none"/>
              </w:rPr>
            </w:pPr>
            <w:r>
              <w:rPr>
                <w:rFonts w:hint="eastAsia" w:ascii="仿宋" w:hAnsi="仿宋" w:eastAsia="仿宋" w:cs="仿宋"/>
                <w:b/>
                <w:bCs/>
                <w:sz w:val="24"/>
                <w:szCs w:val="24"/>
                <w:highlight w:val="none"/>
                <w:lang w:val="en-US" w:eastAsia="zh-CN"/>
              </w:rPr>
              <w:t>评审依据：</w:t>
            </w:r>
            <w:r>
              <w:rPr>
                <w:rFonts w:hint="eastAsia" w:ascii="仿宋" w:hAnsi="仿宋" w:eastAsia="仿宋" w:cs="仿宋"/>
                <w:b/>
                <w:bCs/>
                <w:color w:val="auto"/>
                <w:kern w:val="0"/>
                <w:sz w:val="24"/>
                <w:szCs w:val="24"/>
                <w:highlight w:val="none"/>
                <w:lang w:val="en-US" w:eastAsia="zh-CN" w:bidi="ar"/>
              </w:rPr>
              <w:t>提供</w:t>
            </w:r>
            <w:r>
              <w:rPr>
                <w:rFonts w:hint="eastAsia" w:ascii="仿宋" w:hAnsi="仿宋" w:eastAsia="仿宋" w:cs="仿宋"/>
                <w:b/>
                <w:bCs/>
                <w:sz w:val="24"/>
                <w:szCs w:val="24"/>
                <w:highlight w:val="none"/>
              </w:rPr>
              <w:t>人员管理</w:t>
            </w:r>
            <w:r>
              <w:rPr>
                <w:rFonts w:hint="eastAsia" w:ascii="仿宋" w:hAnsi="仿宋" w:eastAsia="仿宋" w:cs="仿宋"/>
                <w:b/>
                <w:bCs/>
                <w:color w:val="auto"/>
                <w:kern w:val="0"/>
                <w:sz w:val="24"/>
                <w:szCs w:val="24"/>
                <w:highlight w:val="none"/>
                <w:lang w:val="en-US" w:eastAsia="zh-CN"/>
              </w:rPr>
              <w:t>方案</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sz w:val="24"/>
                <w:szCs w:val="24"/>
                <w:highlight w:val="none"/>
                <w:lang w:val="en-US" w:eastAsia="zh-CN"/>
              </w:rPr>
              <w:t>未提供不得分。</w:t>
            </w:r>
          </w:p>
        </w:tc>
        <w:tc>
          <w:tcPr>
            <w:tcW w:w="726" w:type="dxa"/>
            <w:vAlign w:val="center"/>
          </w:tcPr>
          <w:p w14:paraId="006AAE0C">
            <w:pPr>
              <w:widowControl/>
              <w:spacing w:line="360" w:lineRule="auto"/>
              <w:jc w:val="center"/>
              <w:textAlignment w:val="center"/>
              <w:rPr>
                <w:rFonts w:hint="default" w:ascii="仿宋" w:hAnsi="仿宋" w:eastAsia="仿宋" w:cs="仿宋"/>
                <w:color w:val="auto"/>
                <w:kern w:val="0"/>
                <w:szCs w:val="24"/>
                <w:highlight w:val="none"/>
                <w:lang w:val="en-US" w:eastAsia="zh-CN" w:bidi="ar"/>
              </w:rPr>
            </w:pPr>
            <w:r>
              <w:rPr>
                <w:rFonts w:hint="eastAsia" w:ascii="仿宋" w:hAnsi="仿宋" w:cs="仿宋"/>
                <w:color w:val="auto"/>
                <w:kern w:val="0"/>
                <w:szCs w:val="24"/>
                <w:highlight w:val="none"/>
                <w:lang w:val="en-US" w:eastAsia="zh-CN" w:bidi="ar"/>
              </w:rPr>
              <w:t>5</w:t>
            </w:r>
          </w:p>
        </w:tc>
      </w:tr>
      <w:tr w14:paraId="1D3C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57" w:type="dxa"/>
            <w:vMerge w:val="continue"/>
            <w:vAlign w:val="center"/>
          </w:tcPr>
          <w:p w14:paraId="767FF341">
            <w:pPr>
              <w:spacing w:line="400" w:lineRule="exact"/>
              <w:jc w:val="center"/>
              <w:textAlignment w:val="center"/>
              <w:rPr>
                <w:rFonts w:ascii="仿宋" w:hAnsi="仿宋" w:cs="仿宋"/>
                <w:color w:val="auto"/>
                <w:kern w:val="0"/>
                <w:szCs w:val="24"/>
                <w:highlight w:val="none"/>
                <w:lang w:bidi="ar"/>
              </w:rPr>
            </w:pPr>
          </w:p>
        </w:tc>
        <w:tc>
          <w:tcPr>
            <w:tcW w:w="893" w:type="dxa"/>
            <w:vAlign w:val="center"/>
          </w:tcPr>
          <w:p w14:paraId="319CC109">
            <w:pPr>
              <w:widowControl/>
              <w:jc w:val="center"/>
              <w:rPr>
                <w:rFonts w:hint="default" w:ascii="仿宋" w:hAnsi="仿宋" w:cs="仿宋"/>
                <w:color w:val="auto"/>
                <w:kern w:val="0"/>
                <w:szCs w:val="24"/>
                <w:highlight w:val="none"/>
                <w:lang w:val="en-US" w:bidi="ar"/>
              </w:rPr>
            </w:pPr>
            <w:r>
              <w:rPr>
                <w:rFonts w:hint="eastAsia" w:ascii="仿宋" w:hAnsi="仿宋" w:cs="仿宋"/>
                <w:b w:val="0"/>
                <w:bCs w:val="0"/>
                <w:color w:val="auto"/>
                <w:sz w:val="24"/>
                <w:szCs w:val="24"/>
                <w:highlight w:val="none"/>
                <w:lang w:val="en-US" w:eastAsia="zh-CN"/>
              </w:rPr>
              <w:t>服务人员资质</w:t>
            </w:r>
          </w:p>
        </w:tc>
        <w:tc>
          <w:tcPr>
            <w:tcW w:w="6912" w:type="dxa"/>
            <w:vAlign w:val="center"/>
          </w:tcPr>
          <w:p w14:paraId="20EAE6C4">
            <w:pPr>
              <w:numPr>
                <w:ilvl w:val="0"/>
                <w:numId w:val="0"/>
              </w:numPr>
              <w:tabs>
                <w:tab w:val="left" w:pos="403"/>
              </w:tabs>
              <w:spacing w:line="360" w:lineRule="auto"/>
              <w:jc w:val="left"/>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投标人拟派本项目的项目负责人（1名，负责与招标人针对本项目的沟通、对接、协调等事宜）具有：</w:t>
            </w:r>
          </w:p>
          <w:p w14:paraId="4C200D10">
            <w:pPr>
              <w:numPr>
                <w:ilvl w:val="0"/>
                <w:numId w:val="0"/>
              </w:numPr>
              <w:tabs>
                <w:tab w:val="left" w:pos="403"/>
              </w:tabs>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（1）项目负责人需持有全国物业管理从业人员岗位证书具有中专及以上学历的得1分；</w:t>
            </w:r>
          </w:p>
          <w:p w14:paraId="01550A6E">
            <w:pPr>
              <w:numPr>
                <w:ilvl w:val="0"/>
                <w:numId w:val="0"/>
              </w:numPr>
              <w:tabs>
                <w:tab w:val="left" w:pos="403"/>
              </w:tabs>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（2）消防操作员证的得1分；</w:t>
            </w:r>
          </w:p>
          <w:p w14:paraId="54D796FE">
            <w:pPr>
              <w:numPr>
                <w:ilvl w:val="0"/>
                <w:numId w:val="0"/>
              </w:numPr>
              <w:tabs>
                <w:tab w:val="left" w:pos="403"/>
              </w:tabs>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（3）应急救援员证的得1分；</w:t>
            </w:r>
          </w:p>
          <w:p w14:paraId="2CB7D981">
            <w:pPr>
              <w:numPr>
                <w:ilvl w:val="0"/>
                <w:numId w:val="0"/>
              </w:numPr>
              <w:tabs>
                <w:tab w:val="left" w:pos="403"/>
              </w:tabs>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（4）红十字救护员证的得1分；</w:t>
            </w:r>
          </w:p>
          <w:p w14:paraId="09A8520B">
            <w:pPr>
              <w:numPr>
                <w:ilvl w:val="0"/>
                <w:numId w:val="0"/>
              </w:numPr>
              <w:tabs>
                <w:tab w:val="left" w:pos="403"/>
              </w:tabs>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（5）防火安全操作专项职业能力考核证的得1分。</w:t>
            </w:r>
          </w:p>
          <w:p w14:paraId="37150292">
            <w:pPr>
              <w:keepNext w:val="0"/>
              <w:keepLines w:val="0"/>
              <w:pageBreakBefore w:val="0"/>
              <w:widowControl w:val="0"/>
              <w:kinsoku/>
              <w:wordWrap/>
              <w:overflowPunct/>
              <w:topLinePunct w:val="0"/>
              <w:autoSpaceDE/>
              <w:bidi w:val="0"/>
              <w:spacing w:line="400" w:lineRule="exact"/>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
              </w:rPr>
              <w:t>评审依据：</w:t>
            </w:r>
            <w:r>
              <w:rPr>
                <w:rFonts w:hint="eastAsia" w:ascii="仿宋" w:hAnsi="仿宋" w:eastAsia="仿宋" w:cs="仿宋"/>
                <w:b/>
                <w:bCs/>
                <w:color w:val="000000"/>
                <w:kern w:val="0"/>
                <w:sz w:val="24"/>
                <w:szCs w:val="24"/>
                <w:highlight w:val="none"/>
                <w:lang w:bidi="ar"/>
              </w:rPr>
              <w:t>投标人须同时提供相关证明材料及投标人为其缴纳投标截止时间</w:t>
            </w:r>
            <w:r>
              <w:rPr>
                <w:rFonts w:hint="eastAsia" w:ascii="仿宋" w:hAnsi="仿宋" w:eastAsia="仿宋" w:cs="仿宋"/>
                <w:b/>
                <w:bCs/>
                <w:color w:val="000000"/>
                <w:kern w:val="0"/>
                <w:sz w:val="24"/>
                <w:szCs w:val="24"/>
                <w:highlight w:val="none"/>
                <w:lang w:val="en-US" w:eastAsia="zh-CN" w:bidi="ar"/>
              </w:rPr>
              <w:t>近三</w:t>
            </w:r>
            <w:r>
              <w:rPr>
                <w:rFonts w:hint="eastAsia" w:ascii="仿宋" w:hAnsi="仿宋" w:eastAsia="仿宋" w:cs="仿宋"/>
                <w:b/>
                <w:bCs/>
                <w:color w:val="000000"/>
                <w:kern w:val="0"/>
                <w:sz w:val="24"/>
                <w:szCs w:val="24"/>
                <w:highlight w:val="none"/>
                <w:lang w:bidi="ar"/>
              </w:rPr>
              <w:t>个月的社保证明</w:t>
            </w:r>
            <w:r>
              <w:rPr>
                <w:rFonts w:hint="eastAsia" w:ascii="仿宋" w:hAnsi="仿宋" w:eastAsia="仿宋" w:cs="仿宋"/>
                <w:b/>
                <w:bCs/>
                <w:color w:val="000000"/>
                <w:kern w:val="0"/>
                <w:sz w:val="24"/>
                <w:szCs w:val="24"/>
                <w:highlight w:val="none"/>
                <w:lang w:val="en-US" w:eastAsia="zh-CN" w:bidi="ar"/>
              </w:rPr>
              <w:t>并加盖公章</w:t>
            </w:r>
            <w:r>
              <w:rPr>
                <w:rFonts w:hint="eastAsia" w:ascii="仿宋" w:hAnsi="仿宋" w:eastAsia="仿宋" w:cs="仿宋"/>
                <w:b/>
                <w:bCs/>
                <w:color w:val="000000"/>
                <w:kern w:val="0"/>
                <w:sz w:val="24"/>
                <w:szCs w:val="24"/>
                <w:highlight w:val="none"/>
                <w:lang w:bidi="ar"/>
              </w:rPr>
              <w:t>，不满足或未提供的不得分。（与其他人员重复</w:t>
            </w:r>
            <w:r>
              <w:rPr>
                <w:rFonts w:hint="eastAsia" w:ascii="仿宋" w:hAnsi="仿宋" w:eastAsia="仿宋" w:cs="仿宋"/>
                <w:b/>
                <w:bCs/>
                <w:color w:val="000000"/>
                <w:kern w:val="0"/>
                <w:sz w:val="24"/>
                <w:szCs w:val="24"/>
                <w:highlight w:val="none"/>
                <w:lang w:val="en-US" w:eastAsia="zh-CN" w:bidi="ar"/>
              </w:rPr>
              <w:t>不得分</w:t>
            </w:r>
            <w:r>
              <w:rPr>
                <w:rFonts w:hint="eastAsia" w:ascii="仿宋" w:hAnsi="仿宋" w:eastAsia="仿宋" w:cs="仿宋"/>
                <w:b/>
                <w:bCs/>
                <w:color w:val="000000"/>
                <w:kern w:val="0"/>
                <w:sz w:val="24"/>
                <w:szCs w:val="24"/>
                <w:highlight w:val="none"/>
                <w:lang w:bidi="ar"/>
              </w:rPr>
              <w:t>）</w:t>
            </w:r>
          </w:p>
        </w:tc>
        <w:tc>
          <w:tcPr>
            <w:tcW w:w="726" w:type="dxa"/>
            <w:vAlign w:val="center"/>
          </w:tcPr>
          <w:p w14:paraId="7E5DBFFB">
            <w:pPr>
              <w:widowControl/>
              <w:spacing w:line="360" w:lineRule="auto"/>
              <w:jc w:val="center"/>
              <w:textAlignment w:val="center"/>
              <w:rPr>
                <w:rFonts w:hint="default" w:ascii="仿宋" w:hAnsi="仿宋" w:eastAsia="仿宋" w:cs="仿宋"/>
                <w:color w:val="auto"/>
                <w:kern w:val="0"/>
                <w:szCs w:val="24"/>
                <w:highlight w:val="none"/>
                <w:lang w:val="en-US" w:eastAsia="zh-CN" w:bidi="ar"/>
              </w:rPr>
            </w:pPr>
            <w:r>
              <w:rPr>
                <w:rFonts w:hint="eastAsia" w:ascii="仿宋" w:hAnsi="仿宋" w:cs="仿宋"/>
                <w:color w:val="auto"/>
                <w:szCs w:val="24"/>
                <w:highlight w:val="none"/>
                <w:lang w:val="en-US" w:eastAsia="zh-CN"/>
              </w:rPr>
              <w:t>5</w:t>
            </w:r>
          </w:p>
        </w:tc>
      </w:tr>
      <w:tr w14:paraId="1348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57" w:type="dxa"/>
            <w:vMerge w:val="continue"/>
            <w:vAlign w:val="center"/>
          </w:tcPr>
          <w:p w14:paraId="3C4DA30B">
            <w:pPr>
              <w:spacing w:line="400" w:lineRule="exact"/>
              <w:jc w:val="center"/>
              <w:textAlignment w:val="center"/>
              <w:rPr>
                <w:rFonts w:ascii="仿宋" w:hAnsi="仿宋" w:cs="仿宋"/>
                <w:color w:val="auto"/>
                <w:kern w:val="0"/>
                <w:szCs w:val="24"/>
                <w:highlight w:val="none"/>
                <w:lang w:bidi="ar"/>
              </w:rPr>
            </w:pPr>
          </w:p>
        </w:tc>
        <w:tc>
          <w:tcPr>
            <w:tcW w:w="893" w:type="dxa"/>
            <w:shd w:val="clear" w:color="auto" w:fill="auto"/>
            <w:vAlign w:val="center"/>
          </w:tcPr>
          <w:p w14:paraId="12B904C6">
            <w:pPr>
              <w:tabs>
                <w:tab w:val="left" w:pos="403"/>
              </w:tabs>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成功案例</w:t>
            </w:r>
          </w:p>
        </w:tc>
        <w:tc>
          <w:tcPr>
            <w:tcW w:w="6912" w:type="dxa"/>
            <w:shd w:val="clear" w:color="auto" w:fill="auto"/>
            <w:vAlign w:val="center"/>
          </w:tcPr>
          <w:p w14:paraId="0DB249B7">
            <w:pPr>
              <w:tabs>
                <w:tab w:val="left" w:pos="403"/>
              </w:tabs>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根据</w:t>
            </w:r>
            <w:r>
              <w:rPr>
                <w:rFonts w:hint="eastAsia" w:ascii="仿宋" w:hAnsi="仿宋" w:eastAsia="仿宋" w:cs="仿宋"/>
                <w:b w:val="0"/>
                <w:bCs w:val="0"/>
                <w:color w:val="auto"/>
                <w:sz w:val="24"/>
                <w:szCs w:val="24"/>
                <w:highlight w:val="none"/>
              </w:rPr>
              <w:t>投标</w:t>
            </w:r>
            <w:r>
              <w:rPr>
                <w:rFonts w:hint="eastAsia" w:ascii="仿宋" w:hAnsi="仿宋" w:eastAsia="仿宋" w:cs="仿宋"/>
                <w:b w:val="0"/>
                <w:bCs w:val="0"/>
                <w:color w:val="auto"/>
                <w:sz w:val="24"/>
                <w:szCs w:val="24"/>
                <w:highlight w:val="none"/>
                <w:lang w:eastAsia="zh-CN"/>
              </w:rPr>
              <w:t>人</w:t>
            </w:r>
            <w:r>
              <w:rPr>
                <w:rFonts w:hint="eastAsia" w:ascii="仿宋" w:hAnsi="仿宋" w:eastAsia="仿宋" w:cs="仿宋"/>
                <w:b w:val="0"/>
                <w:bCs w:val="0"/>
                <w:color w:val="auto"/>
                <w:sz w:val="24"/>
                <w:szCs w:val="24"/>
                <w:highlight w:val="none"/>
                <w:lang w:val="en-US" w:eastAsia="zh-CN"/>
              </w:rPr>
              <w:t>提供自202</w:t>
            </w:r>
            <w:r>
              <w:rPr>
                <w:rFonts w:hint="eastAsia" w:ascii="仿宋" w:hAnsi="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val="en-US" w:eastAsia="zh-CN"/>
              </w:rPr>
              <w:t>年1月1日起至本项目截止时间止(日期以合同签订时间为准) 所完成的或仍在管的非住宅类物业管理项目进行评分：每提供1份业绩证明材料得</w:t>
            </w:r>
            <w:r>
              <w:rPr>
                <w:rFonts w:hint="eastAsia" w:ascii="仿宋" w:hAnsi="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val="en-US" w:eastAsia="zh-CN"/>
              </w:rPr>
              <w:t>分，满分为</w:t>
            </w:r>
            <w:r>
              <w:rPr>
                <w:rFonts w:hint="eastAsia" w:ascii="仿宋" w:hAnsi="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 xml:space="preserve">分。 </w:t>
            </w:r>
          </w:p>
          <w:p w14:paraId="7442C43F">
            <w:pPr>
              <w:tabs>
                <w:tab w:val="left" w:pos="403"/>
              </w:tabs>
              <w:spacing w:line="360" w:lineRule="auto"/>
              <w:jc w:val="left"/>
              <w:rPr>
                <w:rFonts w:hint="eastAsia" w:ascii="Times New Roman" w:hAnsi="Times New Roman" w:eastAsia="仿宋" w:cs="Times New Roman"/>
                <w:b/>
                <w:bCs/>
                <w:color w:val="auto"/>
                <w:kern w:val="2"/>
                <w:sz w:val="24"/>
                <w:szCs w:val="21"/>
                <w:highlight w:val="none"/>
                <w:lang w:val="en-US" w:eastAsia="zh-CN" w:bidi="ar-SA"/>
              </w:rPr>
            </w:pPr>
            <w:r>
              <w:rPr>
                <w:rFonts w:hint="eastAsia" w:ascii="仿宋" w:hAnsi="仿宋" w:eastAsia="仿宋" w:cs="仿宋"/>
                <w:b/>
                <w:bCs/>
                <w:color w:val="auto"/>
                <w:sz w:val="24"/>
                <w:szCs w:val="24"/>
                <w:highlight w:val="none"/>
                <w:lang w:val="en-US" w:eastAsia="zh-CN"/>
              </w:rPr>
              <w:t>注：投标人须提供业绩证明文件，每份业绩须提供中标（成交）公告（提供相关网站中标（成交）公告的下载网页并注明网址）、中标（成交）通知书复印件、采购合同文本复印件，未提供或提供不齐全的不得分。</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p>
        </w:tc>
        <w:tc>
          <w:tcPr>
            <w:tcW w:w="726" w:type="dxa"/>
            <w:shd w:val="clear" w:color="auto" w:fill="auto"/>
            <w:vAlign w:val="center"/>
          </w:tcPr>
          <w:p w14:paraId="2671AEC7">
            <w:pPr>
              <w:spacing w:line="40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szCs w:val="24"/>
                <w:highlight w:val="none"/>
                <w:lang w:val="en-US" w:eastAsia="zh-CN"/>
              </w:rPr>
              <w:t>2</w:t>
            </w:r>
          </w:p>
        </w:tc>
      </w:tr>
      <w:tr w14:paraId="308F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57" w:type="dxa"/>
            <w:vMerge w:val="continue"/>
            <w:vAlign w:val="center"/>
          </w:tcPr>
          <w:p w14:paraId="1ECACA0C">
            <w:pPr>
              <w:spacing w:line="400" w:lineRule="exact"/>
              <w:jc w:val="center"/>
              <w:textAlignment w:val="center"/>
              <w:rPr>
                <w:rFonts w:ascii="仿宋" w:hAnsi="仿宋" w:cs="仿宋"/>
                <w:color w:val="auto"/>
                <w:kern w:val="0"/>
                <w:szCs w:val="24"/>
                <w:highlight w:val="none"/>
                <w:lang w:bidi="ar"/>
              </w:rPr>
            </w:pPr>
          </w:p>
        </w:tc>
        <w:tc>
          <w:tcPr>
            <w:tcW w:w="893" w:type="dxa"/>
            <w:vAlign w:val="center"/>
          </w:tcPr>
          <w:p w14:paraId="6D37DCAB">
            <w:pPr>
              <w:keepNext w:val="0"/>
              <w:keepLines w:val="0"/>
              <w:pageBreakBefore w:val="0"/>
              <w:widowControl w:val="0"/>
              <w:kinsoku/>
              <w:wordWrap/>
              <w:overflowPunct/>
              <w:topLinePunct w:val="0"/>
              <w:autoSpaceDE/>
              <w:autoSpaceDN w:val="0"/>
              <w:bidi w:val="0"/>
              <w:spacing w:line="400" w:lineRule="exact"/>
              <w:ind w:left="0" w:leftChars="0"/>
              <w:jc w:val="center"/>
              <w:textAlignment w:val="center"/>
              <w:outlineLvl w:val="9"/>
              <w:rPr>
                <w:rFonts w:hint="default" w:ascii="仿宋" w:hAnsi="仿宋" w:eastAsia="仿宋" w:cs="仿宋"/>
                <w:b w:val="0"/>
                <w:bCs w:val="0"/>
                <w:color w:val="auto"/>
                <w:szCs w:val="24"/>
                <w:highlight w:val="none"/>
                <w:lang w:val="en-US" w:eastAsia="zh-CN"/>
              </w:rPr>
            </w:pPr>
            <w:r>
              <w:rPr>
                <w:rFonts w:hint="eastAsia" w:ascii="仿宋" w:hAnsi="仿宋" w:eastAsia="仿宋" w:cs="仿宋"/>
                <w:color w:val="auto"/>
                <w:kern w:val="0"/>
                <w:sz w:val="24"/>
                <w:szCs w:val="24"/>
                <w:highlight w:val="none"/>
                <w:lang w:val="en-US" w:eastAsia="zh-CN" w:bidi="ar"/>
              </w:rPr>
              <w:t>人身意外保险</w:t>
            </w:r>
          </w:p>
        </w:tc>
        <w:tc>
          <w:tcPr>
            <w:tcW w:w="6912" w:type="dxa"/>
            <w:vAlign w:val="center"/>
          </w:tcPr>
          <w:p w14:paraId="33271720">
            <w:pPr>
              <w:tabs>
                <w:tab w:val="left" w:pos="403"/>
              </w:tabs>
              <w:spacing w:line="360" w:lineRule="auto"/>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根据投标人承诺中标后为本项目投入的所有人员购买人身意外保险（包括个人意外险或雇主责任险）得3分。</w:t>
            </w:r>
          </w:p>
          <w:p w14:paraId="6B07F849">
            <w:pPr>
              <w:tabs>
                <w:tab w:val="left" w:pos="403"/>
              </w:tabs>
              <w:spacing w:line="360" w:lineRule="auto"/>
              <w:jc w:val="left"/>
              <w:rPr>
                <w:rFonts w:hint="default" w:eastAsia="仿宋"/>
                <w:color w:val="auto"/>
                <w:highlight w:val="none"/>
                <w:lang w:val="en-US" w:eastAsia="zh-CN"/>
              </w:rPr>
            </w:pPr>
            <w:r>
              <w:rPr>
                <w:rFonts w:hint="eastAsia" w:ascii="仿宋" w:hAnsi="仿宋" w:eastAsia="仿宋" w:cs="仿宋"/>
                <w:b/>
                <w:bCs/>
                <w:color w:val="000000"/>
                <w:kern w:val="0"/>
                <w:sz w:val="24"/>
                <w:szCs w:val="24"/>
                <w:highlight w:val="none"/>
                <w:lang w:val="en-US" w:eastAsia="zh-CN" w:bidi="ar"/>
              </w:rPr>
              <w:t>评审依据</w:t>
            </w:r>
            <w:r>
              <w:rPr>
                <w:rFonts w:hint="eastAsia" w:ascii="仿宋" w:hAnsi="仿宋" w:eastAsia="仿宋" w:cs="仿宋"/>
                <w:b/>
                <w:bCs/>
                <w:color w:val="000000"/>
                <w:kern w:val="0"/>
                <w:sz w:val="24"/>
                <w:szCs w:val="24"/>
                <w:highlight w:val="none"/>
                <w:lang w:bidi="ar"/>
              </w:rPr>
              <w:t>：投标人须提供</w:t>
            </w:r>
            <w:r>
              <w:rPr>
                <w:rFonts w:hint="eastAsia" w:ascii="仿宋" w:hAnsi="仿宋" w:eastAsia="仿宋" w:cs="仿宋"/>
                <w:b/>
                <w:bCs/>
                <w:color w:val="000000"/>
                <w:kern w:val="0"/>
                <w:sz w:val="24"/>
                <w:szCs w:val="24"/>
                <w:highlight w:val="none"/>
                <w:lang w:val="en-US" w:eastAsia="zh-CN" w:bidi="ar"/>
              </w:rPr>
              <w:t>专项</w:t>
            </w:r>
            <w:r>
              <w:rPr>
                <w:rFonts w:hint="eastAsia" w:ascii="仿宋" w:hAnsi="仿宋" w:eastAsia="仿宋" w:cs="仿宋"/>
                <w:b/>
                <w:bCs/>
                <w:color w:val="000000"/>
                <w:kern w:val="0"/>
                <w:sz w:val="24"/>
                <w:szCs w:val="24"/>
                <w:highlight w:val="none"/>
                <w:lang w:bidi="ar"/>
              </w:rPr>
              <w:t>承诺函</w:t>
            </w:r>
            <w:r>
              <w:rPr>
                <w:rFonts w:hint="eastAsia" w:ascii="仿宋" w:hAnsi="仿宋" w:eastAsia="仿宋" w:cs="仿宋"/>
                <w:b/>
                <w:bCs/>
                <w:color w:val="000000"/>
                <w:kern w:val="0"/>
                <w:sz w:val="24"/>
                <w:szCs w:val="24"/>
                <w:highlight w:val="none"/>
                <w:lang w:eastAsia="zh-CN" w:bidi="ar"/>
              </w:rPr>
              <w:t>，</w:t>
            </w:r>
            <w:r>
              <w:rPr>
                <w:rFonts w:hint="eastAsia" w:ascii="仿宋" w:hAnsi="仿宋" w:eastAsia="仿宋" w:cs="仿宋"/>
                <w:b/>
                <w:bCs/>
                <w:color w:val="000000"/>
                <w:kern w:val="0"/>
                <w:sz w:val="24"/>
                <w:szCs w:val="24"/>
                <w:highlight w:val="none"/>
                <w:lang w:bidi="ar"/>
              </w:rPr>
              <w:t>未提供</w:t>
            </w:r>
            <w:r>
              <w:rPr>
                <w:rFonts w:hint="eastAsia" w:ascii="仿宋" w:hAnsi="仿宋" w:eastAsia="仿宋" w:cs="仿宋"/>
                <w:b/>
                <w:bCs/>
                <w:color w:val="000000"/>
                <w:kern w:val="0"/>
                <w:sz w:val="24"/>
                <w:szCs w:val="24"/>
                <w:highlight w:val="none"/>
                <w:lang w:val="en-US" w:eastAsia="zh-CN" w:bidi="ar"/>
              </w:rPr>
              <w:t>或不符合</w:t>
            </w:r>
            <w:r>
              <w:rPr>
                <w:rFonts w:hint="eastAsia" w:ascii="仿宋" w:hAnsi="仿宋" w:eastAsia="仿宋" w:cs="仿宋"/>
                <w:b/>
                <w:bCs/>
                <w:color w:val="000000"/>
                <w:kern w:val="0"/>
                <w:sz w:val="24"/>
                <w:szCs w:val="24"/>
                <w:highlight w:val="none"/>
                <w:lang w:bidi="ar"/>
              </w:rPr>
              <w:t>的不提分。</w:t>
            </w:r>
          </w:p>
        </w:tc>
        <w:tc>
          <w:tcPr>
            <w:tcW w:w="726" w:type="dxa"/>
            <w:vAlign w:val="center"/>
          </w:tcPr>
          <w:p w14:paraId="6BB65293">
            <w:pPr>
              <w:widowControl/>
              <w:spacing w:line="400" w:lineRule="exact"/>
              <w:jc w:val="center"/>
              <w:textAlignment w:val="center"/>
              <w:rPr>
                <w:rFonts w:hint="default" w:ascii="仿宋" w:hAnsi="仿宋" w:eastAsia="仿宋" w:cs="仿宋"/>
                <w:color w:val="auto"/>
                <w:szCs w:val="24"/>
                <w:highlight w:val="none"/>
                <w:lang w:val="en-US" w:eastAsia="zh-CN"/>
              </w:rPr>
            </w:pPr>
            <w:r>
              <w:rPr>
                <w:rFonts w:hint="eastAsia" w:ascii="仿宋" w:hAnsi="仿宋" w:cs="仿宋"/>
                <w:color w:val="auto"/>
                <w:szCs w:val="24"/>
                <w:highlight w:val="none"/>
                <w:lang w:val="en-US" w:eastAsia="zh-CN"/>
              </w:rPr>
              <w:t>3</w:t>
            </w:r>
          </w:p>
        </w:tc>
      </w:tr>
      <w:tr w14:paraId="143F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57" w:type="dxa"/>
            <w:vMerge w:val="continue"/>
            <w:vAlign w:val="center"/>
          </w:tcPr>
          <w:p w14:paraId="29AE69DB">
            <w:pPr>
              <w:spacing w:line="400" w:lineRule="exact"/>
              <w:jc w:val="center"/>
              <w:textAlignment w:val="center"/>
              <w:rPr>
                <w:rFonts w:ascii="仿宋" w:hAnsi="仿宋" w:cs="仿宋"/>
                <w:color w:val="auto"/>
                <w:kern w:val="0"/>
                <w:szCs w:val="24"/>
                <w:highlight w:val="none"/>
                <w:lang w:bidi="ar"/>
              </w:rPr>
            </w:pPr>
          </w:p>
        </w:tc>
        <w:tc>
          <w:tcPr>
            <w:tcW w:w="893" w:type="dxa"/>
            <w:vAlign w:val="center"/>
          </w:tcPr>
          <w:p w14:paraId="6C2F2F6B">
            <w:pPr>
              <w:tabs>
                <w:tab w:val="left" w:pos="403"/>
              </w:tabs>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纠纷解决能力</w:t>
            </w:r>
          </w:p>
        </w:tc>
        <w:tc>
          <w:tcPr>
            <w:tcW w:w="6912" w:type="dxa"/>
            <w:vAlign w:val="center"/>
          </w:tcPr>
          <w:p w14:paraId="013ACE2E">
            <w:pPr>
              <w:tabs>
                <w:tab w:val="left" w:pos="403"/>
              </w:tabs>
              <w:spacing w:line="360" w:lineRule="auto"/>
              <w:jc w:val="left"/>
              <w:rPr>
                <w:rFonts w:hint="eastAsia"/>
                <w:b/>
                <w:bCs/>
                <w:color w:val="auto"/>
                <w:highlight w:val="none"/>
                <w:lang w:val="en-US" w:eastAsia="zh-CN"/>
              </w:rPr>
            </w:pPr>
            <w:r>
              <w:rPr>
                <w:rFonts w:hint="eastAsia" w:ascii="仿宋" w:hAnsi="仿宋" w:eastAsia="仿宋" w:cs="仿宋"/>
                <w:b w:val="0"/>
                <w:bCs w:val="0"/>
                <w:color w:val="auto"/>
                <w:sz w:val="24"/>
                <w:szCs w:val="24"/>
                <w:highlight w:val="none"/>
                <w:lang w:val="en-US" w:eastAsia="zh-CN"/>
              </w:rPr>
              <w:t>投标人具备法律纠纷解决能力及法律咨询渠道，投标人同律师事务所合作或内部自有专业法务人才的得</w:t>
            </w:r>
            <w:r>
              <w:rPr>
                <w:rFonts w:hint="eastAsia" w:ascii="仿宋" w:hAnsi="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val="en-US" w:eastAsia="zh-CN"/>
              </w:rPr>
              <w:t>分。须提供有效期内投标人同律师事务所合作的协议合同复印件，或投标人内部法务人才的律师（法律）执业资格证及自投标截止时间前6个月（当月成立新公司提供缴交社保承诺）任意一个月投标人为其缴纳社保的证明材料、有效身份证复印件，未提供的不得分。</w:t>
            </w:r>
          </w:p>
        </w:tc>
        <w:tc>
          <w:tcPr>
            <w:tcW w:w="726" w:type="dxa"/>
            <w:vAlign w:val="center"/>
          </w:tcPr>
          <w:p w14:paraId="2A2F64A0">
            <w:pPr>
              <w:spacing w:line="400" w:lineRule="exact"/>
              <w:jc w:val="center"/>
              <w:textAlignment w:val="center"/>
              <w:rPr>
                <w:rFonts w:hint="eastAsia" w:ascii="仿宋" w:hAnsi="仿宋" w:cs="仿宋"/>
                <w:color w:val="auto"/>
                <w:szCs w:val="24"/>
                <w:highlight w:val="none"/>
                <w:lang w:val="en-US" w:eastAsia="zh-CN"/>
              </w:rPr>
            </w:pPr>
            <w:r>
              <w:rPr>
                <w:rFonts w:hint="eastAsia" w:ascii="仿宋" w:hAnsi="仿宋" w:cs="仿宋"/>
                <w:color w:val="auto"/>
                <w:szCs w:val="24"/>
                <w:highlight w:val="none"/>
                <w:lang w:val="en-US" w:eastAsia="zh-CN"/>
              </w:rPr>
              <w:t>5</w:t>
            </w:r>
          </w:p>
        </w:tc>
      </w:tr>
      <w:tr w14:paraId="3457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57" w:type="dxa"/>
            <w:vMerge w:val="continue"/>
            <w:vAlign w:val="center"/>
          </w:tcPr>
          <w:p w14:paraId="30281735">
            <w:pPr>
              <w:spacing w:line="400" w:lineRule="exact"/>
              <w:jc w:val="center"/>
              <w:textAlignment w:val="center"/>
              <w:rPr>
                <w:rFonts w:ascii="仿宋" w:hAnsi="仿宋" w:cs="仿宋"/>
                <w:color w:val="auto"/>
                <w:kern w:val="0"/>
                <w:szCs w:val="24"/>
                <w:highlight w:val="none"/>
                <w:lang w:bidi="ar"/>
              </w:rPr>
            </w:pPr>
          </w:p>
        </w:tc>
        <w:tc>
          <w:tcPr>
            <w:tcW w:w="893" w:type="dxa"/>
            <w:vAlign w:val="center"/>
          </w:tcPr>
          <w:p w14:paraId="6FE5CABC">
            <w:pPr>
              <w:tabs>
                <w:tab w:val="left" w:pos="403"/>
              </w:tabs>
              <w:spacing w:line="360" w:lineRule="auto"/>
              <w:jc w:val="center"/>
              <w:rPr>
                <w:rFonts w:hint="eastAsia" w:ascii="仿宋" w:hAnsi="仿宋" w:eastAsia="仿宋" w:cs="仿宋"/>
                <w:color w:val="auto"/>
                <w:szCs w:val="24"/>
                <w:highlight w:val="none"/>
              </w:rPr>
            </w:pPr>
            <w:r>
              <w:rPr>
                <w:rFonts w:hint="eastAsia" w:ascii="仿宋" w:hAnsi="仿宋" w:eastAsia="仿宋" w:cs="仿宋"/>
                <w:b w:val="0"/>
                <w:bCs w:val="0"/>
                <w:color w:val="auto"/>
                <w:kern w:val="2"/>
                <w:sz w:val="24"/>
                <w:szCs w:val="24"/>
                <w:highlight w:val="none"/>
                <w:lang w:val="en-US" w:eastAsia="zh-CN" w:bidi="ar-SA"/>
              </w:rPr>
              <w:t>诚信经营</w:t>
            </w:r>
          </w:p>
        </w:tc>
        <w:tc>
          <w:tcPr>
            <w:tcW w:w="6912" w:type="dxa"/>
            <w:vAlign w:val="center"/>
          </w:tcPr>
          <w:p w14:paraId="30BC2C2D">
            <w:pPr>
              <w:tabs>
                <w:tab w:val="left" w:pos="403"/>
              </w:tabs>
              <w:spacing w:line="360" w:lineRule="auto"/>
              <w:jc w:val="left"/>
              <w:rPr>
                <w:rFonts w:hint="default"/>
                <w:b/>
                <w:bCs/>
                <w:color w:val="auto"/>
                <w:highlight w:val="none"/>
                <w:lang w:val="en-US" w:eastAsia="zh-CN"/>
              </w:rPr>
            </w:pPr>
            <w:r>
              <w:rPr>
                <w:rFonts w:hint="eastAsia"/>
                <w:b w:val="0"/>
                <w:bCs w:val="0"/>
                <w:color w:val="auto"/>
                <w:highlight w:val="none"/>
                <w:lang w:val="en-US" w:eastAsia="zh-CN"/>
              </w:rPr>
              <w:t>近三年（2023–2025）无重大违法记录、无重大安全事故、无严重失信行为（需提供信用中国及国家企业信用信息公示系统查询截图），未提供者不得分。</w:t>
            </w:r>
          </w:p>
        </w:tc>
        <w:tc>
          <w:tcPr>
            <w:tcW w:w="726" w:type="dxa"/>
            <w:vAlign w:val="center"/>
          </w:tcPr>
          <w:p w14:paraId="1CC64290">
            <w:pPr>
              <w:widowControl/>
              <w:spacing w:line="400" w:lineRule="exact"/>
              <w:jc w:val="center"/>
              <w:textAlignment w:val="center"/>
              <w:rPr>
                <w:rFonts w:hint="default" w:ascii="仿宋" w:hAnsi="仿宋" w:cs="仿宋"/>
                <w:color w:val="auto"/>
                <w:szCs w:val="24"/>
                <w:highlight w:val="none"/>
                <w:lang w:val="en-US" w:eastAsia="zh-CN"/>
              </w:rPr>
            </w:pPr>
            <w:r>
              <w:rPr>
                <w:rFonts w:hint="eastAsia" w:ascii="仿宋" w:hAnsi="仿宋" w:cs="仿宋"/>
                <w:color w:val="auto"/>
                <w:szCs w:val="24"/>
                <w:highlight w:val="none"/>
                <w:lang w:val="en-US" w:eastAsia="zh-CN"/>
              </w:rPr>
              <w:t>5</w:t>
            </w:r>
          </w:p>
        </w:tc>
      </w:tr>
    </w:tbl>
    <w:p w14:paraId="3EFCFC23">
      <w:pPr>
        <w:spacing w:line="360" w:lineRule="auto"/>
        <w:ind w:firstLine="482" w:firstLineChars="200"/>
        <w:rPr>
          <w:rFonts w:hint="eastAsia" w:ascii="仿宋" w:hAnsi="仿宋" w:cs="仿宋"/>
          <w:b/>
          <w:bCs/>
          <w:color w:val="auto"/>
          <w:highlight w:val="none"/>
        </w:rPr>
      </w:pPr>
      <w:r>
        <w:rPr>
          <w:rFonts w:hint="eastAsia" w:ascii="仿宋" w:hAnsi="仿宋" w:cs="仿宋"/>
          <w:b/>
          <w:bCs/>
          <w:color w:val="auto"/>
          <w:highlight w:val="none"/>
        </w:rPr>
        <w:t>注：</w:t>
      </w:r>
    </w:p>
    <w:p w14:paraId="18549A6F">
      <w:pPr>
        <w:spacing w:line="360" w:lineRule="auto"/>
        <w:ind w:firstLine="482" w:firstLineChars="200"/>
        <w:rPr>
          <w:rFonts w:ascii="仿宋" w:hAnsi="仿宋" w:cs="仿宋"/>
          <w:b/>
          <w:bCs/>
          <w:color w:val="auto"/>
          <w:highlight w:val="none"/>
        </w:rPr>
      </w:pPr>
      <w:r>
        <w:rPr>
          <w:rFonts w:hint="eastAsia" w:ascii="仿宋" w:hAnsi="仿宋" w:cs="仿宋"/>
          <w:b/>
          <w:bCs/>
          <w:color w:val="auto"/>
          <w:highlight w:val="none"/>
        </w:rPr>
        <w:t>1.计算得分应四舍五入，精确到小数点后两位。</w:t>
      </w:r>
    </w:p>
    <w:p w14:paraId="0C1EDB92">
      <w:pPr>
        <w:spacing w:line="360" w:lineRule="auto"/>
        <w:ind w:firstLine="482" w:firstLineChars="200"/>
        <w:rPr>
          <w:rFonts w:ascii="仿宋" w:hAnsi="仿宋" w:cs="仿宋"/>
          <w:b/>
          <w:color w:val="auto"/>
          <w:szCs w:val="18"/>
          <w:highlight w:val="none"/>
        </w:rPr>
      </w:pPr>
      <w:r>
        <w:rPr>
          <w:rFonts w:hint="eastAsia" w:ascii="仿宋" w:hAnsi="仿宋" w:cs="仿宋"/>
          <w:b/>
          <w:bCs/>
          <w:color w:val="auto"/>
          <w:highlight w:val="none"/>
        </w:rPr>
        <w:t>2.按投标人不含增值税报价计算评标价格。</w:t>
      </w:r>
    </w:p>
    <w:p w14:paraId="6EE63C0A">
      <w:pPr>
        <w:spacing w:line="360" w:lineRule="auto"/>
        <w:ind w:firstLine="482" w:firstLineChars="200"/>
        <w:rPr>
          <w:rFonts w:ascii="仿宋" w:hAnsi="仿宋" w:cs="仿宋"/>
          <w:color w:val="auto"/>
          <w:highlight w:val="none"/>
        </w:rPr>
      </w:pPr>
      <w:r>
        <w:rPr>
          <w:rFonts w:hint="eastAsia" w:ascii="仿宋" w:hAnsi="仿宋" w:cs="仿宋"/>
          <w:b/>
          <w:color w:val="auto"/>
          <w:szCs w:val="18"/>
          <w:highlight w:val="none"/>
        </w:rPr>
        <w:t>3.在评标过程中，评标委员会发现投标人的报价明显低于其他投标报价，使得其投标报价可能低于其个别成本的，将可能要求要求该投标人作出书面说明并提供相关证明材料。投标人不能合理说明或者不能提供相关证明材料的，由评标委员会认定该投标人以低于成本报价竞标，将可能否决其投标。</w:t>
      </w:r>
    </w:p>
    <w:p w14:paraId="088B1669">
      <w:pPr>
        <w:ind w:firstLine="48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91234"/>
    <w:rsid w:val="073F2CB4"/>
    <w:rsid w:val="0F5767C4"/>
    <w:rsid w:val="196A3460"/>
    <w:rsid w:val="215A5DFB"/>
    <w:rsid w:val="2CA81ACA"/>
    <w:rsid w:val="31E6759A"/>
    <w:rsid w:val="390F0009"/>
    <w:rsid w:val="4E025935"/>
    <w:rsid w:val="53E644BE"/>
    <w:rsid w:val="6B657311"/>
    <w:rsid w:val="6DF91234"/>
    <w:rsid w:val="74A1705C"/>
    <w:rsid w:val="75327854"/>
    <w:rsid w:val="754D6A24"/>
    <w:rsid w:val="7B025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4"/>
      <w:szCs w:val="21"/>
      <w:lang w:val="en-US" w:eastAsia="zh-CN" w:bidi="ar-SA"/>
    </w:rPr>
  </w:style>
  <w:style w:type="paragraph" w:styleId="3">
    <w:name w:val="heading 1"/>
    <w:basedOn w:val="1"/>
    <w:next w:val="1"/>
    <w:link w:val="8"/>
    <w:qFormat/>
    <w:uiPriority w:val="0"/>
    <w:pPr>
      <w:keepNext/>
      <w:tabs>
        <w:tab w:val="left" w:pos="345"/>
      </w:tabs>
      <w:spacing w:line="400" w:lineRule="exact"/>
      <w:ind w:left="345" w:hanging="345"/>
      <w:jc w:val="center"/>
      <w:outlineLvl w:val="0"/>
    </w:pPr>
    <w:rPr>
      <w:rFonts w:ascii="宋体" w:hAnsi="宋体" w:eastAsia="宋体" w:cs="Times New Roman"/>
      <w:b/>
      <w:sz w:val="36"/>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styleId="4">
    <w:name w:val="annotation text"/>
    <w:basedOn w:val="1"/>
    <w:qFormat/>
    <w:uiPriority w:val="0"/>
    <w:pPr>
      <w:jc w:val="left"/>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标题 1 Char"/>
    <w:link w:val="3"/>
    <w:qFormat/>
    <w:uiPriority w:val="0"/>
    <w:rPr>
      <w:rFonts w:ascii="宋体" w:hAnsi="宋体" w:eastAsia="宋体" w:cs="Times New Roman"/>
      <w:b/>
      <w:sz w:val="36"/>
      <w:szCs w:val="20"/>
    </w:rPr>
  </w:style>
  <w:style w:type="paragraph" w:customStyle="1" w:styleId="9">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1668</Words>
  <Characters>1726</Characters>
  <Lines>0</Lines>
  <Paragraphs>0</Paragraphs>
  <TotalTime>4</TotalTime>
  <ScaleCrop>false</ScaleCrop>
  <LinksUpToDate>false</LinksUpToDate>
  <CharactersWithSpaces>1735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2025-11-07T09:20:00Z</dcterms:created>
  <dc:creator>守候</dc:creator>
  <cp:lastModifiedBy>施绍鹏</cp:lastModifiedBy>
  <dcterms:modified xsi:type="dcterms:W3CDTF">2026-02-05T08:15:42Z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E7F9A4D20E874E71B9B0244A6C22E3D6_13</vt:lpwstr>
  </property>
  <property fmtid="{D5CDD505-2E9C-101B-9397-08002B2CF9AE}" pid="4" name="KSOTemplateDocerSaveRecord">
    <vt:lpwstr>eyJoZGlkIjoiN2I2MDRiNGNmZDZjMGNmY2RmYWM1NjZkZTdlMDBjZDgiLCJ1c2VySWQiOiI0NjA1MzE1OTgifQ==</vt:lpwstr>
  </property>
</Properties>
</file>